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22D" w:rsidRPr="00D33127" w:rsidRDefault="0043722D" w:rsidP="0043722D">
      <w:pPr>
        <w:pStyle w:val="a3"/>
        <w:snapToGrid w:val="0"/>
        <w:ind w:left="2384" w:hangingChars="993" w:hanging="2384"/>
        <w:rPr>
          <w:rFonts w:ascii="Arial" w:hAnsi="Arial" w:cs="Arial"/>
          <w:b/>
          <w:bCs/>
          <w:sz w:val="24"/>
          <w:szCs w:val="24"/>
          <w:lang w:val="en-GB"/>
        </w:rPr>
      </w:pPr>
      <w:bookmarkStart w:id="0" w:name="OLE_LINK2"/>
      <w:bookmarkStart w:id="1" w:name="OLE_LINK3"/>
      <w:r w:rsidRPr="00D33127">
        <w:rPr>
          <w:rFonts w:ascii="Arial" w:hAnsi="Arial" w:cs="Arial"/>
          <w:b/>
          <w:bCs/>
          <w:sz w:val="24"/>
          <w:szCs w:val="24"/>
          <w:lang w:val="en-GB"/>
        </w:rPr>
        <w:t>3GPP TSG RAN WG1 #10</w:t>
      </w:r>
      <w:r>
        <w:rPr>
          <w:rFonts w:ascii="Arial" w:hAnsi="Arial" w:cs="Arial"/>
          <w:b/>
          <w:bCs/>
          <w:sz w:val="24"/>
          <w:szCs w:val="24"/>
          <w:lang w:val="en-GB"/>
        </w:rPr>
        <w:t>3-e</w:t>
      </w:r>
      <w:r w:rsidRPr="00D33127">
        <w:rPr>
          <w:rFonts w:ascii="Arial" w:hAnsi="Arial" w:cs="Arial"/>
          <w:b/>
          <w:bCs/>
          <w:sz w:val="24"/>
          <w:szCs w:val="24"/>
          <w:lang w:val="en-GB"/>
        </w:rPr>
        <w:tab/>
      </w:r>
      <w:r w:rsidRPr="00D3312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FD2EA3" w:rsidRPr="00FD2EA3">
        <w:rPr>
          <w:rFonts w:ascii="Arial" w:hAnsi="Arial" w:cs="Arial"/>
          <w:b/>
          <w:bCs/>
          <w:sz w:val="24"/>
          <w:szCs w:val="24"/>
          <w:lang w:val="en-GB"/>
        </w:rPr>
        <w:t>R1-2008078</w:t>
      </w:r>
      <w:bookmarkStart w:id="2" w:name="_GoBack"/>
      <w:bookmarkEnd w:id="2"/>
    </w:p>
    <w:p w:rsidR="0043722D" w:rsidRDefault="0043722D" w:rsidP="0043722D">
      <w:pPr>
        <w:pStyle w:val="a3"/>
        <w:snapToGrid w:val="0"/>
        <w:ind w:left="2384" w:hangingChars="993" w:hanging="2384"/>
        <w:rPr>
          <w:rFonts w:ascii="Arial" w:hAnsi="Arial" w:cs="Arial"/>
          <w:b/>
          <w:bCs/>
          <w:sz w:val="24"/>
          <w:szCs w:val="24"/>
          <w:lang w:val="en-GB"/>
        </w:rPr>
      </w:pPr>
      <w:r w:rsidRPr="007B2D91">
        <w:rPr>
          <w:rFonts w:ascii="Arial" w:hAnsi="Arial" w:cs="Arial"/>
          <w:b/>
          <w:bCs/>
          <w:sz w:val="24"/>
          <w:szCs w:val="24"/>
          <w:lang w:val="en-GB"/>
        </w:rPr>
        <w:t xml:space="preserve">e-Meeting, </w:t>
      </w:r>
      <w:r w:rsidRPr="00286CCE">
        <w:rPr>
          <w:rFonts w:ascii="Arial" w:hAnsi="Arial" w:cs="Arial"/>
          <w:b/>
          <w:bCs/>
          <w:sz w:val="24"/>
          <w:szCs w:val="24"/>
          <w:lang w:val="en-GB"/>
        </w:rPr>
        <w:t>October 26th – November 13th, 2020</w:t>
      </w:r>
    </w:p>
    <w:p w:rsidR="007B2D91" w:rsidRPr="00D33127" w:rsidRDefault="007B2D91" w:rsidP="00F61D05">
      <w:pPr>
        <w:pStyle w:val="a3"/>
        <w:snapToGrid w:val="0"/>
        <w:ind w:left="2393" w:hangingChars="993" w:hanging="2393"/>
        <w:rPr>
          <w:rFonts w:ascii="Arial" w:eastAsiaTheme="minorEastAsia" w:hAnsi="Arial" w:cs="Arial"/>
          <w:b/>
          <w:bCs/>
          <w:sz w:val="24"/>
          <w:szCs w:val="24"/>
          <w:lang w:val="en-GB" w:eastAsia="zh-CN"/>
        </w:rPr>
      </w:pP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C16C5D">
        <w:rPr>
          <w:rFonts w:ascii="Arial" w:eastAsiaTheme="minorEastAsia" w:hAnsi="Arial" w:cs="Arial"/>
          <w:b/>
          <w:bCs/>
          <w:sz w:val="24"/>
          <w:szCs w:val="24"/>
          <w:lang w:val="en-GB" w:eastAsia="zh-CN"/>
        </w:rPr>
        <w:t>8.</w:t>
      </w:r>
      <w:r w:rsidR="005F6AFB">
        <w:rPr>
          <w:rFonts w:ascii="Arial" w:eastAsiaTheme="minorEastAsia" w:hAnsi="Arial" w:cs="Arial"/>
          <w:b/>
          <w:bCs/>
          <w:sz w:val="24"/>
          <w:szCs w:val="24"/>
          <w:lang w:val="en-GB" w:eastAsia="zh-CN"/>
        </w:rPr>
        <w:t>8.2.1</w:t>
      </w: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hAnsi="Arial" w:cs="Arial"/>
          <w:b/>
          <w:bCs/>
          <w:sz w:val="24"/>
          <w:szCs w:val="24"/>
          <w:lang w:val="en-GB"/>
        </w:rPr>
        <w:tab/>
      </w:r>
      <w:r w:rsidR="00C16C5D">
        <w:rPr>
          <w:rFonts w:ascii="Arial" w:eastAsiaTheme="minorEastAsia" w:hAnsi="Arial" w:cs="Arial"/>
          <w:b/>
          <w:bCs/>
          <w:sz w:val="24"/>
          <w:szCs w:val="24"/>
          <w:lang w:val="en-GB" w:eastAsia="zh-CN"/>
        </w:rPr>
        <w:t xml:space="preserve">Discussion on </w:t>
      </w:r>
      <w:r w:rsidR="005F6AFB" w:rsidRPr="005F6AFB">
        <w:rPr>
          <w:rFonts w:ascii="Arial" w:eastAsiaTheme="minorEastAsia" w:hAnsi="Arial" w:cs="Arial"/>
          <w:b/>
          <w:bCs/>
          <w:sz w:val="24"/>
          <w:szCs w:val="24"/>
          <w:lang w:val="en-GB" w:eastAsia="zh-CN"/>
        </w:rPr>
        <w:t>PUSCH coverage enhancement</w:t>
      </w:r>
    </w:p>
    <w:bookmarkEnd w:id="4"/>
    <w:bookmarkEnd w:id="5"/>
    <w:p w:rsidR="00F61D05" w:rsidRPr="004313C9" w:rsidRDefault="00F61D05" w:rsidP="00F61D05">
      <w:pPr>
        <w:pStyle w:val="a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rsidR="00F61D05" w:rsidRPr="003F0850" w:rsidRDefault="00F61D05" w:rsidP="00F61D05">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F61D05" w:rsidRDefault="00F61D05" w:rsidP="00F61D0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CF583E" w:rsidRPr="00B7100D" w:rsidRDefault="000511CA" w:rsidP="0032595C">
      <w:pPr>
        <w:spacing w:before="120" w:after="120"/>
        <w:jc w:val="both"/>
        <w:rPr>
          <w:rFonts w:eastAsia="宋体"/>
          <w:color w:val="000000" w:themeColor="text1"/>
          <w:szCs w:val="22"/>
          <w:lang w:eastAsia="zh-CN"/>
        </w:rPr>
      </w:pPr>
      <w:bookmarkStart w:id="7" w:name="OLE_LINK9"/>
      <w:bookmarkStart w:id="8" w:name="OLE_LINK10"/>
      <w:r w:rsidRPr="00B7100D">
        <w:rPr>
          <w:rFonts w:eastAsia="宋体"/>
          <w:color w:val="000000" w:themeColor="text1"/>
          <w:szCs w:val="22"/>
          <w:lang w:eastAsia="zh-CN"/>
        </w:rPr>
        <w:t>In the last meeting [1], following is agreed.</w:t>
      </w:r>
    </w:p>
    <w:tbl>
      <w:tblPr>
        <w:tblStyle w:val="a5"/>
        <w:tblW w:w="0" w:type="auto"/>
        <w:tblInd w:w="0" w:type="dxa"/>
        <w:tblLook w:val="04A0" w:firstRow="1" w:lastRow="0" w:firstColumn="1" w:lastColumn="0" w:noHBand="0" w:noVBand="1"/>
      </w:tblPr>
      <w:tblGrid>
        <w:gridCol w:w="8630"/>
      </w:tblGrid>
      <w:tr w:rsidR="00CF583E" w:rsidTr="00CF583E">
        <w:tc>
          <w:tcPr>
            <w:tcW w:w="8630" w:type="dxa"/>
          </w:tcPr>
          <w:p w:rsidR="000511CA" w:rsidRPr="00231CAE" w:rsidRDefault="000511CA" w:rsidP="000511CA">
            <w:pPr>
              <w:rPr>
                <w:rFonts w:eastAsia="等线"/>
              </w:rPr>
            </w:pPr>
            <w:r w:rsidRPr="00231CAE">
              <w:rPr>
                <w:highlight w:val="green"/>
              </w:rPr>
              <w:t>Agreements</w:t>
            </w:r>
            <w:r w:rsidRPr="00231CAE">
              <w:t>:</w:t>
            </w:r>
          </w:p>
          <w:p w:rsidR="000511CA" w:rsidRPr="00231CAE" w:rsidRDefault="000511CA" w:rsidP="000511CA">
            <w:pPr>
              <w:pStyle w:val="a4"/>
              <w:numPr>
                <w:ilvl w:val="0"/>
                <w:numId w:val="9"/>
              </w:numPr>
              <w:overflowPunct w:val="0"/>
              <w:autoSpaceDE w:val="0"/>
              <w:autoSpaceDN w:val="0"/>
              <w:adjustRightInd w:val="0"/>
              <w:textAlignment w:val="baseline"/>
            </w:pPr>
            <w:r w:rsidRPr="00231CAE">
              <w:t>Prioritize the study on the performance and specification impacts on time domain based solutions for PUSCH enhancements, including</w:t>
            </w:r>
          </w:p>
          <w:p w:rsidR="000511CA" w:rsidRPr="00231CAE" w:rsidRDefault="000511CA" w:rsidP="000511CA">
            <w:pPr>
              <w:pStyle w:val="a4"/>
              <w:numPr>
                <w:ilvl w:val="1"/>
                <w:numId w:val="9"/>
              </w:numPr>
              <w:overflowPunct w:val="0"/>
              <w:autoSpaceDE w:val="0"/>
              <w:autoSpaceDN w:val="0"/>
              <w:adjustRightInd w:val="0"/>
              <w:textAlignment w:val="baseline"/>
            </w:pPr>
            <w:r w:rsidRPr="00231CAE">
              <w:t>Increase the number of repetitions for PUSCH repetition  type A</w:t>
            </w:r>
            <w:r w:rsidRPr="009F654A">
              <w:rPr>
                <w:strike/>
              </w:rPr>
              <w:t xml:space="preserve"> </w:t>
            </w:r>
          </w:p>
          <w:p w:rsidR="000511CA" w:rsidRPr="009F654A" w:rsidRDefault="000511CA" w:rsidP="000511CA">
            <w:pPr>
              <w:pStyle w:val="a4"/>
              <w:numPr>
                <w:ilvl w:val="2"/>
                <w:numId w:val="9"/>
              </w:numPr>
              <w:overflowPunct w:val="0"/>
              <w:autoSpaceDE w:val="0"/>
              <w:autoSpaceDN w:val="0"/>
              <w:adjustRightInd w:val="0"/>
              <w:textAlignment w:val="baseline"/>
              <w:rPr>
                <w:u w:val="single"/>
              </w:rPr>
            </w:pPr>
            <w:r w:rsidRPr="00231CAE">
              <w:t>PUSCH repetition with non-consecutive slots/on the basis of available slots for TDD</w:t>
            </w:r>
          </w:p>
          <w:p w:rsidR="000511CA" w:rsidRPr="00231CAE" w:rsidRDefault="000511CA" w:rsidP="000511CA">
            <w:pPr>
              <w:pStyle w:val="a4"/>
              <w:numPr>
                <w:ilvl w:val="2"/>
                <w:numId w:val="9"/>
              </w:numPr>
              <w:overflowPunct w:val="0"/>
              <w:autoSpaceDE w:val="0"/>
              <w:autoSpaceDN w:val="0"/>
              <w:adjustRightInd w:val="0"/>
              <w:textAlignment w:val="baseline"/>
            </w:pPr>
            <w:r w:rsidRPr="00231CAE">
              <w:t>Note: whether increasing the number of PUSCH repetition for FDD depends on the outcome of AI 8.8.1.1.</w:t>
            </w:r>
          </w:p>
          <w:p w:rsidR="000511CA" w:rsidRPr="00231CAE" w:rsidRDefault="000511CA" w:rsidP="000511CA">
            <w:pPr>
              <w:pStyle w:val="a4"/>
              <w:numPr>
                <w:ilvl w:val="1"/>
                <w:numId w:val="9"/>
              </w:numPr>
              <w:overflowPunct w:val="0"/>
              <w:autoSpaceDE w:val="0"/>
              <w:autoSpaceDN w:val="0"/>
              <w:adjustRightInd w:val="0"/>
              <w:textAlignment w:val="baseline"/>
            </w:pPr>
            <w:r w:rsidRPr="00231CAE">
              <w:t>Enhancement on PUSCH repetition Type B</w:t>
            </w:r>
          </w:p>
          <w:p w:rsidR="000511CA" w:rsidRPr="00231CAE" w:rsidRDefault="000511CA" w:rsidP="000511CA">
            <w:pPr>
              <w:pStyle w:val="a4"/>
              <w:numPr>
                <w:ilvl w:val="2"/>
                <w:numId w:val="9"/>
              </w:numPr>
              <w:overflowPunct w:val="0"/>
              <w:autoSpaceDE w:val="0"/>
              <w:autoSpaceDN w:val="0"/>
              <w:adjustRightInd w:val="0"/>
              <w:textAlignment w:val="baseline"/>
            </w:pPr>
            <w:r w:rsidRPr="00231CAE">
              <w:t>E.g., actual repetition across the slot boundary, or the length of actual repetition larger than 14 symbols, etc.</w:t>
            </w:r>
          </w:p>
          <w:p w:rsidR="000511CA" w:rsidRPr="009F654A" w:rsidRDefault="000511CA" w:rsidP="000511CA">
            <w:pPr>
              <w:pStyle w:val="a4"/>
              <w:numPr>
                <w:ilvl w:val="1"/>
                <w:numId w:val="9"/>
              </w:numPr>
              <w:overflowPunct w:val="0"/>
              <w:autoSpaceDE w:val="0"/>
              <w:autoSpaceDN w:val="0"/>
              <w:adjustRightInd w:val="0"/>
              <w:spacing w:after="0"/>
              <w:ind w:left="1434" w:hanging="357"/>
              <w:textAlignment w:val="baseline"/>
            </w:pPr>
            <w:r w:rsidRPr="009F654A">
              <w:t>TB processing at least over multi-slot PUSCH</w:t>
            </w:r>
          </w:p>
          <w:p w:rsidR="000511CA" w:rsidRPr="00231CAE" w:rsidRDefault="000511CA" w:rsidP="000511CA">
            <w:pPr>
              <w:pStyle w:val="a4"/>
              <w:numPr>
                <w:ilvl w:val="2"/>
                <w:numId w:val="9"/>
              </w:numPr>
              <w:overflowPunct w:val="0"/>
              <w:autoSpaceDE w:val="0"/>
              <w:autoSpaceDN w:val="0"/>
              <w:adjustRightInd w:val="0"/>
              <w:textAlignment w:val="baseline"/>
            </w:pPr>
            <w:r w:rsidRPr="00231CAE">
              <w:t>e.g., single TB, sized for a single slot, but transmitted in parts over multiple slots; or single TB, sized for multiple slots, transmitted over multiple slots, and in conjunction with repetition, etc.</w:t>
            </w:r>
          </w:p>
          <w:p w:rsidR="000511CA" w:rsidRPr="00231CAE" w:rsidRDefault="000511CA" w:rsidP="000511CA">
            <w:pPr>
              <w:pStyle w:val="a4"/>
              <w:numPr>
                <w:ilvl w:val="0"/>
                <w:numId w:val="9"/>
              </w:numPr>
              <w:overflowPunct w:val="0"/>
              <w:autoSpaceDE w:val="0"/>
              <w:autoSpaceDN w:val="0"/>
              <w:adjustRightInd w:val="0"/>
              <w:textAlignment w:val="baseline"/>
            </w:pPr>
            <w:r w:rsidRPr="00231CAE">
              <w:t>FFS</w:t>
            </w:r>
          </w:p>
          <w:p w:rsidR="000511CA" w:rsidRPr="00231CAE" w:rsidRDefault="000511CA" w:rsidP="000511CA">
            <w:pPr>
              <w:pStyle w:val="a4"/>
              <w:numPr>
                <w:ilvl w:val="1"/>
                <w:numId w:val="9"/>
              </w:numPr>
              <w:overflowPunct w:val="0"/>
              <w:autoSpaceDE w:val="0"/>
              <w:autoSpaceDN w:val="0"/>
              <w:adjustRightInd w:val="0"/>
              <w:textAlignment w:val="baseline"/>
            </w:pPr>
            <w:r w:rsidRPr="00231CAE">
              <w:t>OCC spreading based repetition</w:t>
            </w:r>
          </w:p>
          <w:p w:rsidR="000511CA" w:rsidRPr="00231CAE" w:rsidRDefault="000511CA" w:rsidP="000511CA">
            <w:pPr>
              <w:pStyle w:val="a4"/>
              <w:numPr>
                <w:ilvl w:val="1"/>
                <w:numId w:val="9"/>
              </w:numPr>
              <w:overflowPunct w:val="0"/>
              <w:autoSpaceDE w:val="0"/>
              <w:autoSpaceDN w:val="0"/>
              <w:adjustRightInd w:val="0"/>
              <w:textAlignment w:val="baseline"/>
            </w:pPr>
            <w:r w:rsidRPr="00231CAE">
              <w:t>Symbol-level repetition</w:t>
            </w:r>
          </w:p>
          <w:p w:rsidR="000511CA" w:rsidRPr="00231CAE" w:rsidRDefault="000511CA" w:rsidP="000511CA">
            <w:pPr>
              <w:pStyle w:val="a4"/>
              <w:numPr>
                <w:ilvl w:val="1"/>
                <w:numId w:val="9"/>
              </w:numPr>
              <w:overflowPunct w:val="0"/>
              <w:autoSpaceDE w:val="0"/>
              <w:autoSpaceDN w:val="0"/>
              <w:adjustRightInd w:val="0"/>
              <w:textAlignment w:val="baseline"/>
            </w:pPr>
            <w:r w:rsidRPr="00231CAE">
              <w:t>TB interleaving</w:t>
            </w:r>
          </w:p>
          <w:p w:rsidR="000511CA" w:rsidRPr="00231CAE" w:rsidRDefault="000511CA" w:rsidP="000511CA">
            <w:pPr>
              <w:pStyle w:val="a4"/>
              <w:numPr>
                <w:ilvl w:val="1"/>
                <w:numId w:val="9"/>
              </w:numPr>
              <w:overflowPunct w:val="0"/>
              <w:autoSpaceDE w:val="0"/>
              <w:autoSpaceDN w:val="0"/>
              <w:adjustRightInd w:val="0"/>
              <w:textAlignment w:val="baseline"/>
            </w:pPr>
            <w:r w:rsidRPr="00231CAE">
              <w:t>RV repetition</w:t>
            </w:r>
          </w:p>
          <w:p w:rsidR="000511CA" w:rsidRPr="00231CAE" w:rsidRDefault="000511CA" w:rsidP="000511CA">
            <w:pPr>
              <w:pStyle w:val="a4"/>
              <w:numPr>
                <w:ilvl w:val="1"/>
                <w:numId w:val="9"/>
              </w:numPr>
              <w:overflowPunct w:val="0"/>
              <w:autoSpaceDE w:val="0"/>
              <w:autoSpaceDN w:val="0"/>
              <w:adjustRightInd w:val="0"/>
              <w:textAlignment w:val="baseline"/>
            </w:pPr>
            <w:r w:rsidRPr="00231CAE">
              <w:t>Early termination of PUSCH repetitions</w:t>
            </w:r>
          </w:p>
          <w:p w:rsidR="000511CA" w:rsidRDefault="000511CA" w:rsidP="000511CA">
            <w:pPr>
              <w:rPr>
                <w:rFonts w:ascii="Calibri" w:hAnsi="Calibri"/>
                <w:b/>
                <w:szCs w:val="22"/>
                <w:lang w:eastAsia="zh-CN"/>
              </w:rPr>
            </w:pPr>
            <w:r>
              <w:rPr>
                <w:bCs/>
                <w:highlight w:val="green"/>
              </w:rPr>
              <w:t>Agreements</w:t>
            </w:r>
            <w:r>
              <w:rPr>
                <w:b/>
              </w:rPr>
              <w:t>:</w:t>
            </w:r>
          </w:p>
          <w:p w:rsidR="000511CA" w:rsidRDefault="000511CA" w:rsidP="000511CA">
            <w:pPr>
              <w:pStyle w:val="a4"/>
              <w:numPr>
                <w:ilvl w:val="0"/>
                <w:numId w:val="10"/>
              </w:numPr>
              <w:spacing w:after="0"/>
              <w:contextualSpacing w:val="0"/>
              <w:rPr>
                <w:bCs/>
              </w:rPr>
            </w:pPr>
            <w:r>
              <w:rPr>
                <w:bCs/>
              </w:rPr>
              <w:t xml:space="preserve">Prioritize the study on the performance and specification impacts on DM-RS enhancements for PUSCH, including </w:t>
            </w:r>
          </w:p>
          <w:p w:rsidR="000511CA" w:rsidRDefault="000511CA" w:rsidP="000511CA">
            <w:pPr>
              <w:pStyle w:val="a4"/>
              <w:numPr>
                <w:ilvl w:val="1"/>
                <w:numId w:val="10"/>
              </w:numPr>
              <w:spacing w:after="0"/>
              <w:contextualSpacing w:val="0"/>
              <w:rPr>
                <w:bCs/>
              </w:rPr>
            </w:pPr>
            <w:r>
              <w:rPr>
                <w:bCs/>
              </w:rPr>
              <w:t>Cross-slot channel estimation</w:t>
            </w:r>
          </w:p>
          <w:p w:rsidR="000511CA" w:rsidRDefault="000511CA" w:rsidP="000511CA">
            <w:pPr>
              <w:pStyle w:val="a4"/>
              <w:numPr>
                <w:ilvl w:val="1"/>
                <w:numId w:val="10"/>
              </w:numPr>
              <w:spacing w:after="0"/>
              <w:contextualSpacing w:val="0"/>
              <w:rPr>
                <w:bCs/>
              </w:rPr>
            </w:pPr>
            <w:r>
              <w:rPr>
                <w:bCs/>
              </w:rPr>
              <w:t>With a lower priority compared with cross-slot channel estimation (i.e., companies are encouraged to study it)</w:t>
            </w:r>
          </w:p>
          <w:p w:rsidR="000511CA" w:rsidRDefault="000511CA" w:rsidP="000511CA">
            <w:pPr>
              <w:pStyle w:val="a4"/>
              <w:numPr>
                <w:ilvl w:val="2"/>
                <w:numId w:val="10"/>
              </w:numPr>
              <w:spacing w:after="0"/>
              <w:contextualSpacing w:val="0"/>
              <w:rPr>
                <w:bCs/>
              </w:rPr>
            </w:pPr>
            <w:r>
              <w:rPr>
                <w:bCs/>
              </w:rPr>
              <w:t>Lower density</w:t>
            </w:r>
          </w:p>
          <w:p w:rsidR="000511CA" w:rsidRPr="00B7100D" w:rsidRDefault="000511CA" w:rsidP="000511CA">
            <w:pPr>
              <w:pStyle w:val="a4"/>
              <w:numPr>
                <w:ilvl w:val="3"/>
                <w:numId w:val="10"/>
              </w:numPr>
              <w:spacing w:after="0"/>
              <w:contextualSpacing w:val="0"/>
              <w:rPr>
                <w:b/>
              </w:rPr>
            </w:pPr>
            <w:r>
              <w:rPr>
                <w:bCs/>
              </w:rPr>
              <w:t xml:space="preserve">E.g., DM-RS sharing among multiple PUSCH transmissions </w:t>
            </w:r>
            <w:r w:rsidRPr="00B7100D">
              <w:rPr>
                <w:rStyle w:val="a9"/>
                <w:b w:val="0"/>
              </w:rPr>
              <w:t>or lower DMRS density in the frequency domain.</w:t>
            </w:r>
          </w:p>
          <w:p w:rsidR="000511CA" w:rsidRDefault="000511CA" w:rsidP="000511CA">
            <w:pPr>
              <w:pStyle w:val="a4"/>
              <w:numPr>
                <w:ilvl w:val="2"/>
                <w:numId w:val="10"/>
              </w:numPr>
              <w:spacing w:after="0"/>
              <w:contextualSpacing w:val="0"/>
              <w:rPr>
                <w:bCs/>
              </w:rPr>
            </w:pPr>
            <w:r>
              <w:rPr>
                <w:bCs/>
              </w:rPr>
              <w:t>Higher density</w:t>
            </w:r>
            <w:r>
              <w:rPr>
                <w:bCs/>
                <w:strike/>
              </w:rPr>
              <w:t xml:space="preserve"> </w:t>
            </w:r>
          </w:p>
          <w:p w:rsidR="000511CA" w:rsidRDefault="000511CA" w:rsidP="000511CA">
            <w:pPr>
              <w:pStyle w:val="a4"/>
              <w:numPr>
                <w:ilvl w:val="3"/>
                <w:numId w:val="10"/>
              </w:numPr>
              <w:spacing w:after="0"/>
              <w:contextualSpacing w:val="0"/>
              <w:rPr>
                <w:rFonts w:eastAsia="等线"/>
                <w:bCs/>
              </w:rPr>
            </w:pPr>
            <w:r>
              <w:rPr>
                <w:bCs/>
              </w:rPr>
              <w:t>E.g., in time or frequency domain, e.g., 1-comb pattern</w:t>
            </w:r>
          </w:p>
          <w:p w:rsidR="000511CA" w:rsidRDefault="000511CA" w:rsidP="000511CA">
            <w:pPr>
              <w:pStyle w:val="a4"/>
              <w:numPr>
                <w:ilvl w:val="2"/>
                <w:numId w:val="10"/>
              </w:numPr>
              <w:spacing w:after="0"/>
              <w:contextualSpacing w:val="0"/>
              <w:rPr>
                <w:bCs/>
              </w:rPr>
            </w:pPr>
            <w:r>
              <w:rPr>
                <w:bCs/>
              </w:rPr>
              <w:t>Adaptive configuration</w:t>
            </w:r>
          </w:p>
          <w:p w:rsidR="000511CA" w:rsidRDefault="000511CA" w:rsidP="000511CA">
            <w:pPr>
              <w:pStyle w:val="a4"/>
              <w:numPr>
                <w:ilvl w:val="2"/>
                <w:numId w:val="10"/>
              </w:numPr>
              <w:spacing w:after="0"/>
              <w:contextualSpacing w:val="0"/>
              <w:rPr>
                <w:bCs/>
              </w:rPr>
            </w:pPr>
            <w:r>
              <w:rPr>
                <w:bCs/>
              </w:rPr>
              <w:t>DM-RS balancing among frequency hops</w:t>
            </w:r>
          </w:p>
          <w:p w:rsidR="000511CA" w:rsidRDefault="000511CA" w:rsidP="000511CA">
            <w:pPr>
              <w:rPr>
                <w:bCs/>
                <w:highlight w:val="green"/>
              </w:rPr>
            </w:pPr>
            <w:r>
              <w:rPr>
                <w:bCs/>
                <w:highlight w:val="green"/>
              </w:rPr>
              <w:t>Agreements:</w:t>
            </w:r>
          </w:p>
          <w:p w:rsidR="000511CA" w:rsidRDefault="000511CA" w:rsidP="000511CA">
            <w:pPr>
              <w:pStyle w:val="a4"/>
              <w:numPr>
                <w:ilvl w:val="0"/>
                <w:numId w:val="11"/>
              </w:numPr>
              <w:spacing w:after="0"/>
              <w:contextualSpacing w:val="0"/>
              <w:rPr>
                <w:bCs/>
              </w:rPr>
            </w:pPr>
            <w:r>
              <w:rPr>
                <w:bCs/>
              </w:rPr>
              <w:t>Study the performance and specification impacts on frequency domain based solutions for PUSCH, including</w:t>
            </w:r>
          </w:p>
          <w:p w:rsidR="000511CA" w:rsidRDefault="000511CA" w:rsidP="000511CA">
            <w:pPr>
              <w:pStyle w:val="a4"/>
              <w:numPr>
                <w:ilvl w:val="1"/>
                <w:numId w:val="11"/>
              </w:numPr>
              <w:spacing w:after="0"/>
              <w:contextualSpacing w:val="0"/>
              <w:rPr>
                <w:bCs/>
              </w:rPr>
            </w:pPr>
            <w:r>
              <w:rPr>
                <w:bCs/>
              </w:rPr>
              <w:t xml:space="preserve">Inter-slot frequency hopping </w:t>
            </w:r>
          </w:p>
          <w:p w:rsidR="000511CA" w:rsidRDefault="000511CA" w:rsidP="000511CA">
            <w:pPr>
              <w:pStyle w:val="a4"/>
              <w:numPr>
                <w:ilvl w:val="2"/>
                <w:numId w:val="11"/>
              </w:numPr>
              <w:spacing w:after="0"/>
              <w:contextualSpacing w:val="0"/>
              <w:rPr>
                <w:bCs/>
              </w:rPr>
            </w:pPr>
            <w:r>
              <w:rPr>
                <w:bCs/>
              </w:rPr>
              <w:lastRenderedPageBreak/>
              <w:t>with more frequency offsets</w:t>
            </w:r>
          </w:p>
          <w:p w:rsidR="000511CA" w:rsidRDefault="000511CA" w:rsidP="000511CA">
            <w:pPr>
              <w:pStyle w:val="a4"/>
              <w:numPr>
                <w:ilvl w:val="2"/>
                <w:numId w:val="11"/>
              </w:numPr>
              <w:spacing w:after="0"/>
              <w:contextualSpacing w:val="0"/>
              <w:rPr>
                <w:bCs/>
              </w:rPr>
            </w:pPr>
            <w:r>
              <w:rPr>
                <w:bCs/>
              </w:rPr>
              <w:t>with more frequency hopping positions.</w:t>
            </w:r>
          </w:p>
          <w:p w:rsidR="000511CA" w:rsidRDefault="000511CA" w:rsidP="000511CA">
            <w:pPr>
              <w:pStyle w:val="a4"/>
              <w:numPr>
                <w:ilvl w:val="1"/>
                <w:numId w:val="11"/>
              </w:numPr>
              <w:spacing w:after="0"/>
              <w:contextualSpacing w:val="0"/>
              <w:rPr>
                <w:bCs/>
              </w:rPr>
            </w:pPr>
            <w:r>
              <w:rPr>
                <w:bCs/>
              </w:rPr>
              <w:t>Inter-slot frequency hopping with inter-slot bundling to enable cross-slot channel estimation</w:t>
            </w:r>
          </w:p>
          <w:p w:rsidR="000511CA" w:rsidRDefault="000511CA" w:rsidP="000511CA">
            <w:pPr>
              <w:pStyle w:val="a4"/>
              <w:numPr>
                <w:ilvl w:val="1"/>
                <w:numId w:val="11"/>
              </w:numPr>
              <w:spacing w:after="0"/>
              <w:contextualSpacing w:val="0"/>
              <w:rPr>
                <w:bCs/>
              </w:rPr>
            </w:pPr>
            <w:r>
              <w:rPr>
                <w:bCs/>
              </w:rPr>
              <w:t>Enhancements on frequency hopping for PUSCH repetition type B</w:t>
            </w:r>
          </w:p>
          <w:p w:rsidR="000511CA" w:rsidRDefault="000511CA" w:rsidP="000511CA">
            <w:pPr>
              <w:pStyle w:val="a4"/>
              <w:numPr>
                <w:ilvl w:val="2"/>
                <w:numId w:val="11"/>
              </w:numPr>
              <w:spacing w:after="0"/>
              <w:contextualSpacing w:val="0"/>
              <w:rPr>
                <w:bCs/>
              </w:rPr>
            </w:pPr>
            <w:r>
              <w:rPr>
                <w:bCs/>
              </w:rPr>
              <w:t>Note that the above inter-slot frequency hopping enhancement can apply for PUSCH repetition type B</w:t>
            </w:r>
          </w:p>
          <w:p w:rsidR="000511CA" w:rsidRDefault="000511CA" w:rsidP="000511CA">
            <w:pPr>
              <w:pStyle w:val="a4"/>
              <w:numPr>
                <w:ilvl w:val="1"/>
                <w:numId w:val="11"/>
              </w:numPr>
              <w:spacing w:after="0"/>
              <w:contextualSpacing w:val="0"/>
              <w:rPr>
                <w:bCs/>
              </w:rPr>
            </w:pPr>
            <w:r>
              <w:rPr>
                <w:bCs/>
                <w:strike/>
              </w:rPr>
              <w:t>[</w:t>
            </w:r>
            <w:r>
              <w:rPr>
                <w:bCs/>
              </w:rPr>
              <w:t>Sub-PRB transmission for VoIP</w:t>
            </w:r>
            <w:r>
              <w:rPr>
                <w:bCs/>
                <w:strike/>
              </w:rPr>
              <w:t>]</w:t>
            </w:r>
          </w:p>
          <w:p w:rsidR="000511CA" w:rsidRDefault="000511CA" w:rsidP="000511CA">
            <w:pPr>
              <w:pStyle w:val="a4"/>
              <w:numPr>
                <w:ilvl w:val="2"/>
                <w:numId w:val="11"/>
              </w:numPr>
              <w:spacing w:after="0"/>
              <w:contextualSpacing w:val="0"/>
              <w:rPr>
                <w:bCs/>
              </w:rPr>
            </w:pPr>
            <w:r>
              <w:rPr>
                <w:bCs/>
              </w:rPr>
              <w:t>FFS: details, e.g., number of tones, multi-slot aggregation</w:t>
            </w:r>
          </w:p>
          <w:p w:rsidR="000511CA" w:rsidRDefault="000511CA" w:rsidP="000511CA">
            <w:pPr>
              <w:pStyle w:val="a4"/>
              <w:numPr>
                <w:ilvl w:val="0"/>
                <w:numId w:val="11"/>
              </w:numPr>
              <w:spacing w:after="0"/>
              <w:contextualSpacing w:val="0"/>
              <w:rPr>
                <w:bCs/>
              </w:rPr>
            </w:pPr>
            <w:r>
              <w:rPr>
                <w:bCs/>
              </w:rPr>
              <w:t>FFS</w:t>
            </w:r>
          </w:p>
          <w:p w:rsidR="000511CA" w:rsidRDefault="000511CA" w:rsidP="000511CA">
            <w:pPr>
              <w:pStyle w:val="a4"/>
              <w:numPr>
                <w:ilvl w:val="1"/>
                <w:numId w:val="11"/>
              </w:numPr>
              <w:spacing w:after="0"/>
              <w:contextualSpacing w:val="0"/>
              <w:rPr>
                <w:bCs/>
              </w:rPr>
            </w:pPr>
            <w:r>
              <w:rPr>
                <w:bCs/>
              </w:rPr>
              <w:t xml:space="preserve">Intra-slot frequency hopping </w:t>
            </w:r>
          </w:p>
          <w:p w:rsidR="000511CA" w:rsidRDefault="000511CA" w:rsidP="000511CA">
            <w:pPr>
              <w:pStyle w:val="a4"/>
              <w:numPr>
                <w:ilvl w:val="2"/>
                <w:numId w:val="11"/>
              </w:numPr>
              <w:spacing w:after="0"/>
              <w:contextualSpacing w:val="0"/>
              <w:rPr>
                <w:bCs/>
              </w:rPr>
            </w:pPr>
            <w:r>
              <w:rPr>
                <w:bCs/>
              </w:rPr>
              <w:t>with more frequency offsets</w:t>
            </w:r>
          </w:p>
          <w:p w:rsidR="000511CA" w:rsidRDefault="000511CA" w:rsidP="000511CA">
            <w:pPr>
              <w:pStyle w:val="a4"/>
              <w:numPr>
                <w:ilvl w:val="2"/>
                <w:numId w:val="11"/>
              </w:numPr>
              <w:spacing w:after="0"/>
              <w:contextualSpacing w:val="0"/>
              <w:rPr>
                <w:bCs/>
              </w:rPr>
            </w:pPr>
            <w:r>
              <w:rPr>
                <w:bCs/>
              </w:rPr>
              <w:t>with more frequency hopping positions.</w:t>
            </w:r>
          </w:p>
          <w:p w:rsidR="00CF583E" w:rsidRPr="000511CA" w:rsidRDefault="000511CA" w:rsidP="000511CA">
            <w:pPr>
              <w:rPr>
                <w:bCs/>
              </w:rPr>
            </w:pPr>
            <w:r>
              <w:rPr>
                <w:bCs/>
              </w:rPr>
              <w:t>[Note: Appropriate simulation assumptions are expected.]</w:t>
            </w:r>
          </w:p>
        </w:tc>
      </w:tr>
    </w:tbl>
    <w:p w:rsidR="00DB669A" w:rsidRPr="00B7100D" w:rsidRDefault="00DB669A" w:rsidP="0032595C">
      <w:pPr>
        <w:spacing w:before="120" w:after="120"/>
        <w:jc w:val="both"/>
        <w:rPr>
          <w:rFonts w:eastAsia="宋体"/>
          <w:color w:val="000000" w:themeColor="text1"/>
          <w:szCs w:val="22"/>
          <w:lang w:eastAsia="zh-CN"/>
        </w:rPr>
      </w:pPr>
      <w:r w:rsidRPr="00B7100D">
        <w:rPr>
          <w:rFonts w:eastAsia="宋体"/>
          <w:color w:val="000000" w:themeColor="text1"/>
          <w:szCs w:val="22"/>
          <w:lang w:eastAsia="zh-CN"/>
        </w:rPr>
        <w:lastRenderedPageBreak/>
        <w:t xml:space="preserve">In this contribution, we </w:t>
      </w:r>
      <w:r w:rsidR="00CF583E" w:rsidRPr="00B7100D">
        <w:rPr>
          <w:rFonts w:eastAsia="宋体"/>
          <w:color w:val="000000" w:themeColor="text1"/>
          <w:szCs w:val="22"/>
          <w:lang w:eastAsia="zh-CN"/>
        </w:rPr>
        <w:t>provide our view on the PUSCH coverage enhancement and potential solution</w:t>
      </w:r>
      <w:r w:rsidRPr="00B7100D">
        <w:rPr>
          <w:rFonts w:eastAsia="宋体"/>
          <w:color w:val="000000" w:themeColor="text1"/>
          <w:szCs w:val="22"/>
          <w:lang w:eastAsia="zh-CN"/>
        </w:rPr>
        <w:t>.</w:t>
      </w:r>
    </w:p>
    <w:p w:rsidR="00B7100D" w:rsidRPr="00B7100D" w:rsidRDefault="00F61D05" w:rsidP="00CD4CF9">
      <w:pPr>
        <w:pStyle w:val="1"/>
        <w:keepLines w:val="0"/>
        <w:numPr>
          <w:ilvl w:val="0"/>
          <w:numId w:val="1"/>
        </w:numPr>
        <w:spacing w:before="240" w:after="60"/>
        <w:ind w:left="360" w:hanging="360"/>
        <w:jc w:val="both"/>
        <w:rPr>
          <w:rFonts w:eastAsiaTheme="minorEastAsia"/>
          <w:color w:val="000000" w:themeColor="text1"/>
          <w:szCs w:val="2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Discussion</w:t>
      </w:r>
    </w:p>
    <w:p w:rsidR="00B7100D" w:rsidRPr="00CD4CF9" w:rsidRDefault="00804A18" w:rsidP="00482013">
      <w:pPr>
        <w:pStyle w:val="3"/>
        <w:numPr>
          <w:ilvl w:val="1"/>
          <w:numId w:val="1"/>
        </w:numPr>
        <w:rPr>
          <w:sz w:val="18"/>
          <w:lang w:val="en-US" w:eastAsia="zh-CN"/>
        </w:rPr>
      </w:pPr>
      <w:r w:rsidRPr="00CD4CF9">
        <w:rPr>
          <w:rFonts w:ascii="Times New Roman" w:hAnsi="Times New Roman" w:cs="Times New Roman"/>
          <w:color w:val="auto"/>
          <w:sz w:val="24"/>
          <w:lang w:val="en-US" w:eastAsia="zh-CN"/>
        </w:rPr>
        <w:t>Cross channel estimation</w:t>
      </w:r>
    </w:p>
    <w:p w:rsidR="00D65294" w:rsidRPr="00B7100D" w:rsidRDefault="00D65294" w:rsidP="00D65294">
      <w:pPr>
        <w:spacing w:before="120" w:after="120"/>
        <w:jc w:val="both"/>
        <w:rPr>
          <w:rFonts w:eastAsiaTheme="minorEastAsia"/>
          <w:color w:val="000000" w:themeColor="text1"/>
          <w:szCs w:val="22"/>
          <w:lang w:val="en-US" w:eastAsia="zh-CN"/>
        </w:rPr>
      </w:pPr>
      <w:r w:rsidRPr="00B7100D">
        <w:rPr>
          <w:rFonts w:eastAsiaTheme="minorEastAsia"/>
          <w:color w:val="000000" w:themeColor="text1"/>
          <w:szCs w:val="22"/>
          <w:lang w:val="en-US" w:eastAsia="zh-CN"/>
        </w:rPr>
        <w:t>Channel estimation accuracy has large impact on demodulation performance especially for scenario where the SNR at receiver is very low. Increasing the channel estimation accuracy will reduce the required demodulation SNR working point at receiver that lead to increase MCL of coverage. On the other hand, the power and resources for channel estimation and data transmission should be balanced. We can give more power and resources to DMRS to increase the performance of channel estimation, but we have less power and resources for data which may also increase the required demodulation SNR for a given data rate. To increase the channel estimation accuracy but not to increase the power and resources for channel estimation is one of potential solutions to increase the coverage of PUSCH.</w:t>
      </w:r>
    </w:p>
    <w:p w:rsidR="00B7100D" w:rsidRPr="00B7100D" w:rsidRDefault="00D65294" w:rsidP="00D65294">
      <w:pPr>
        <w:spacing w:before="120" w:after="120"/>
        <w:jc w:val="both"/>
        <w:rPr>
          <w:rFonts w:eastAsiaTheme="minorEastAsia"/>
          <w:color w:val="000000" w:themeColor="text1"/>
          <w:szCs w:val="22"/>
          <w:lang w:val="en-US" w:eastAsia="zh-CN"/>
        </w:rPr>
      </w:pPr>
      <w:r w:rsidRPr="00B7100D">
        <w:rPr>
          <w:rFonts w:eastAsiaTheme="minorEastAsia"/>
          <w:color w:val="000000" w:themeColor="text1"/>
          <w:szCs w:val="22"/>
          <w:lang w:val="en-US" w:eastAsia="zh-CN"/>
        </w:rPr>
        <w:t xml:space="preserve">In NR, the channel is assumed to be inferred within one slot for PUSCH. The physical channel </w:t>
      </w:r>
      <w:r w:rsidR="00A16FD0" w:rsidRPr="00B7100D">
        <w:rPr>
          <w:rFonts w:eastAsiaTheme="minorEastAsia"/>
          <w:color w:val="000000" w:themeColor="text1"/>
          <w:szCs w:val="22"/>
          <w:lang w:val="en-US" w:eastAsia="zh-CN"/>
        </w:rPr>
        <w:t>between slots should be time continuous and a physical channel in one slot may infer the channel in another slot nearby the current slot. The equivalent channel is physical channel plus implemental channel. In NR transmitter and receiver, the RF and/or baseband implemental channel is not required to maintain between slots. It should only be maintained within a slot/hopping. It has benefits on implementation flexibility and may provide some equivalent channel diversity due to the implemental channel diversity. However, it precludes the cross channel estimation between slots that could improve the channel estimation accuracy. For some specific scenario, e.g. coverage limit case, the cross channel estimate could have some benefits. So a channel in slot could infer a channel in another</w:t>
      </w:r>
      <w:r w:rsidR="00BA32B1" w:rsidRPr="00B7100D">
        <w:rPr>
          <w:rFonts w:eastAsiaTheme="minorEastAsia"/>
          <w:color w:val="000000" w:themeColor="text1"/>
          <w:szCs w:val="22"/>
          <w:lang w:val="en-US" w:eastAsia="zh-CN"/>
        </w:rPr>
        <w:t xml:space="preserve"> which will help for the cross channel estimation is beneficial. In Rel-17 coverage enhancement, it should allow to indicate this inferable state to UE. </w:t>
      </w:r>
    </w:p>
    <w:p w:rsidR="00D65294" w:rsidRPr="00B7100D" w:rsidRDefault="00BA32B1" w:rsidP="00BA32B1">
      <w:pPr>
        <w:jc w:val="both"/>
        <w:rPr>
          <w:rFonts w:eastAsia="宋体"/>
          <w:b/>
          <w:i/>
          <w:color w:val="000000" w:themeColor="text1"/>
          <w:szCs w:val="22"/>
          <w:lang w:eastAsia="zh-CN"/>
        </w:rPr>
      </w:pPr>
      <w:r w:rsidRPr="00B7100D">
        <w:rPr>
          <w:rFonts w:eastAsia="宋体"/>
          <w:b/>
          <w:i/>
          <w:color w:val="000000" w:themeColor="text1"/>
          <w:szCs w:val="22"/>
          <w:lang w:eastAsia="zh-CN"/>
        </w:rPr>
        <w:t xml:space="preserve">Proposal 1: </w:t>
      </w:r>
      <w:r w:rsidR="00CD4CF9" w:rsidRPr="00B7100D">
        <w:rPr>
          <w:rFonts w:eastAsia="宋体"/>
          <w:b/>
          <w:i/>
          <w:color w:val="000000" w:themeColor="text1"/>
          <w:szCs w:val="22"/>
          <w:lang w:eastAsia="zh-CN"/>
        </w:rPr>
        <w:t xml:space="preserve">It’s beneficial to </w:t>
      </w:r>
      <w:r w:rsidR="00CD4CF9">
        <w:rPr>
          <w:rFonts w:eastAsia="宋体"/>
          <w:b/>
          <w:i/>
          <w:color w:val="000000" w:themeColor="text1"/>
          <w:szCs w:val="22"/>
          <w:lang w:eastAsia="zh-CN"/>
        </w:rPr>
        <w:t>support c</w:t>
      </w:r>
      <w:r w:rsidRPr="00B7100D">
        <w:rPr>
          <w:rFonts w:eastAsia="宋体"/>
          <w:b/>
          <w:i/>
          <w:color w:val="000000" w:themeColor="text1"/>
          <w:szCs w:val="22"/>
          <w:lang w:eastAsia="zh-CN"/>
        </w:rPr>
        <w:t xml:space="preserve">ross channel. </w:t>
      </w:r>
      <w:r w:rsidR="00CD4CF9">
        <w:rPr>
          <w:rFonts w:eastAsia="宋体"/>
          <w:b/>
          <w:i/>
          <w:color w:val="000000" w:themeColor="text1"/>
          <w:szCs w:val="22"/>
          <w:lang w:eastAsia="zh-CN"/>
        </w:rPr>
        <w:t>Based on legacy NR, channel across different slot are not inferable. I</w:t>
      </w:r>
      <w:r w:rsidRPr="00B7100D">
        <w:rPr>
          <w:rFonts w:eastAsia="宋体"/>
          <w:b/>
          <w:i/>
          <w:color w:val="000000" w:themeColor="text1"/>
          <w:szCs w:val="22"/>
          <w:lang w:eastAsia="zh-CN"/>
        </w:rPr>
        <w:t xml:space="preserve">nferable state </w:t>
      </w:r>
      <w:r w:rsidR="00CD4CF9">
        <w:rPr>
          <w:rFonts w:eastAsia="宋体"/>
          <w:b/>
          <w:i/>
          <w:color w:val="000000" w:themeColor="text1"/>
          <w:szCs w:val="22"/>
          <w:lang w:eastAsia="zh-CN"/>
        </w:rPr>
        <w:t xml:space="preserve">could be indicated </w:t>
      </w:r>
      <w:r w:rsidRPr="00B7100D">
        <w:rPr>
          <w:rFonts w:eastAsia="宋体"/>
          <w:b/>
          <w:i/>
          <w:color w:val="000000" w:themeColor="text1"/>
          <w:szCs w:val="22"/>
          <w:lang w:eastAsia="zh-CN"/>
        </w:rPr>
        <w:t xml:space="preserve">to UE to </w:t>
      </w:r>
      <w:r w:rsidR="00CD4CF9">
        <w:rPr>
          <w:rFonts w:eastAsia="宋体"/>
          <w:b/>
          <w:i/>
          <w:color w:val="000000" w:themeColor="text1"/>
          <w:szCs w:val="22"/>
          <w:lang w:eastAsia="zh-CN"/>
        </w:rPr>
        <w:t>support</w:t>
      </w:r>
      <w:r w:rsidRPr="00B7100D">
        <w:rPr>
          <w:rFonts w:eastAsia="宋体"/>
          <w:b/>
          <w:i/>
          <w:color w:val="000000" w:themeColor="text1"/>
          <w:szCs w:val="22"/>
          <w:lang w:eastAsia="zh-CN"/>
        </w:rPr>
        <w:t xml:space="preserve"> cross channel estimation.</w:t>
      </w:r>
    </w:p>
    <w:p w:rsidR="00B7100D" w:rsidRDefault="00CD4CF9" w:rsidP="00D65294">
      <w:pPr>
        <w:spacing w:before="120" w:after="120"/>
        <w:jc w:val="both"/>
        <w:rPr>
          <w:rFonts w:eastAsiaTheme="minorEastAsia"/>
          <w:color w:val="000000" w:themeColor="text1"/>
          <w:szCs w:val="22"/>
          <w:lang w:val="en-US" w:eastAsia="zh-CN"/>
        </w:rPr>
      </w:pPr>
      <w:r>
        <w:rPr>
          <w:rFonts w:eastAsiaTheme="minorEastAsia"/>
          <w:color w:val="000000" w:themeColor="text1"/>
          <w:szCs w:val="22"/>
          <w:lang w:val="en-US" w:eastAsia="zh-CN"/>
        </w:rPr>
        <w:t>When cross channel estimation is used, the OFDM symbol which carries DMRS for channel estimation should be designed unitedly across multiple slots. We could reuse existing DMRS symbol pattern</w:t>
      </w:r>
      <w:r w:rsidR="00BC0292">
        <w:rPr>
          <w:rFonts w:eastAsiaTheme="minorEastAsia"/>
          <w:color w:val="000000" w:themeColor="text1"/>
          <w:szCs w:val="22"/>
          <w:lang w:val="en-US" w:eastAsia="zh-CN"/>
        </w:rPr>
        <w:t>. However, the granularity of symbol number within one slot may not be suitable for cross channel estimation among multiple slots. To overcome this issue, different number of DMRS symbol in different slot could be studied. For example, two DMRS symbols in even slot and one DMRS symbol in odd slot makes up the DMRS symbol pattern over multiple slots.</w:t>
      </w:r>
    </w:p>
    <w:p w:rsidR="00BC0292" w:rsidRPr="00B7100D" w:rsidRDefault="00BC0292" w:rsidP="00BC0292">
      <w:pPr>
        <w:jc w:val="both"/>
        <w:rPr>
          <w:rFonts w:eastAsiaTheme="minorEastAsia"/>
          <w:color w:val="000000" w:themeColor="text1"/>
          <w:szCs w:val="22"/>
          <w:lang w:val="en-US" w:eastAsia="zh-CN"/>
        </w:rPr>
      </w:pPr>
      <w:r w:rsidRPr="00B7100D">
        <w:rPr>
          <w:rFonts w:eastAsia="宋体"/>
          <w:b/>
          <w:i/>
          <w:color w:val="000000" w:themeColor="text1"/>
          <w:szCs w:val="22"/>
          <w:lang w:eastAsia="zh-CN"/>
        </w:rPr>
        <w:t xml:space="preserve">Proposal </w:t>
      </w:r>
      <w:r>
        <w:rPr>
          <w:rFonts w:eastAsia="宋体"/>
          <w:b/>
          <w:i/>
          <w:color w:val="000000" w:themeColor="text1"/>
          <w:szCs w:val="22"/>
          <w:lang w:eastAsia="zh-CN"/>
        </w:rPr>
        <w:t>2</w:t>
      </w:r>
      <w:r w:rsidRPr="00B7100D">
        <w:rPr>
          <w:rFonts w:eastAsia="宋体"/>
          <w:b/>
          <w:i/>
          <w:color w:val="000000" w:themeColor="text1"/>
          <w:szCs w:val="22"/>
          <w:lang w:eastAsia="zh-CN"/>
        </w:rPr>
        <w:t xml:space="preserve">: </w:t>
      </w:r>
      <w:r>
        <w:rPr>
          <w:rFonts w:eastAsia="宋体"/>
          <w:b/>
          <w:i/>
          <w:color w:val="000000" w:themeColor="text1"/>
          <w:szCs w:val="22"/>
          <w:lang w:eastAsia="zh-CN"/>
        </w:rPr>
        <w:t>To study different number of DMRS symbol in each slot to make up DMRS symbol pattern over multiple slots when cross slot channel estimation adopted</w:t>
      </w:r>
      <w:r w:rsidRPr="00B7100D">
        <w:rPr>
          <w:rFonts w:eastAsia="宋体"/>
          <w:b/>
          <w:i/>
          <w:color w:val="000000" w:themeColor="text1"/>
          <w:szCs w:val="22"/>
          <w:lang w:eastAsia="zh-CN"/>
        </w:rPr>
        <w:t>.</w:t>
      </w:r>
    </w:p>
    <w:p w:rsidR="00B7100D" w:rsidRPr="00CD4CF9" w:rsidRDefault="00B7100D" w:rsidP="00CD4CF9">
      <w:pPr>
        <w:pStyle w:val="3"/>
        <w:numPr>
          <w:ilvl w:val="1"/>
          <w:numId w:val="1"/>
        </w:numPr>
        <w:rPr>
          <w:rFonts w:ascii="Times New Roman" w:hAnsi="Times New Roman" w:cs="Times New Roman"/>
          <w:color w:val="auto"/>
          <w:sz w:val="24"/>
          <w:lang w:val="en-US" w:eastAsia="zh-CN"/>
        </w:rPr>
      </w:pPr>
      <w:r w:rsidRPr="00CD4CF9">
        <w:rPr>
          <w:rFonts w:ascii="Times New Roman" w:hAnsi="Times New Roman" w:cs="Times New Roman"/>
          <w:color w:val="auto"/>
          <w:sz w:val="24"/>
          <w:lang w:val="en-US" w:eastAsia="zh-CN"/>
        </w:rPr>
        <w:lastRenderedPageBreak/>
        <w:t xml:space="preserve">Inter-slot frequency hopping </w:t>
      </w:r>
    </w:p>
    <w:p w:rsidR="00BA32B1" w:rsidRPr="00B7100D" w:rsidRDefault="00BA32B1" w:rsidP="00D65294">
      <w:pPr>
        <w:spacing w:before="120" w:after="120"/>
        <w:jc w:val="both"/>
        <w:rPr>
          <w:rFonts w:eastAsiaTheme="minorEastAsia"/>
          <w:color w:val="000000" w:themeColor="text1"/>
          <w:szCs w:val="22"/>
          <w:lang w:val="en-US" w:eastAsia="zh-CN"/>
        </w:rPr>
      </w:pPr>
      <w:r w:rsidRPr="00B7100D">
        <w:rPr>
          <w:rFonts w:eastAsiaTheme="minorEastAsia"/>
          <w:color w:val="000000" w:themeColor="text1"/>
          <w:szCs w:val="22"/>
          <w:lang w:val="en-US" w:eastAsia="zh-CN"/>
        </w:rPr>
        <w:t xml:space="preserve">For coverage limit scenario, </w:t>
      </w:r>
      <w:r w:rsidR="000162A2" w:rsidRPr="00B7100D">
        <w:rPr>
          <w:rFonts w:eastAsiaTheme="minorEastAsia"/>
          <w:color w:val="000000" w:themeColor="text1"/>
          <w:szCs w:val="22"/>
          <w:lang w:val="en-US" w:eastAsia="zh-CN"/>
        </w:rPr>
        <w:t xml:space="preserve">on one hand, </w:t>
      </w:r>
      <w:r w:rsidRPr="00B7100D">
        <w:rPr>
          <w:rFonts w:eastAsiaTheme="minorEastAsia"/>
          <w:color w:val="000000" w:themeColor="text1"/>
          <w:szCs w:val="22"/>
          <w:lang w:val="en-US" w:eastAsia="zh-CN"/>
        </w:rPr>
        <w:t xml:space="preserve">channel state estimation by detecting SRS may not be accuracy due to the </w:t>
      </w:r>
      <w:r w:rsidR="000162A2" w:rsidRPr="00B7100D">
        <w:rPr>
          <w:rFonts w:eastAsiaTheme="minorEastAsia"/>
          <w:color w:val="000000" w:themeColor="text1"/>
          <w:szCs w:val="22"/>
          <w:lang w:val="en-US" w:eastAsia="zh-CN"/>
        </w:rPr>
        <w:t>low SNR at receiver side, on the other hand, the SRS may not be configured to UE, e.g. during the connection initial phase. In such case, gNB may not provide scheduling gain to UE on the better RB. Frequency hopping is used in such case to provide frequency diversity gain to UE. In Rel-15 NR, only two RB position is supported by UE in frequency hopping. As more frequency hopping RB position may provide more frequency diversity gain. It's beneficial to study providing more frequency hopping RB position to increase the coverage.</w:t>
      </w:r>
    </w:p>
    <w:p w:rsidR="000162A2" w:rsidRDefault="00BC0292" w:rsidP="00D65294">
      <w:pPr>
        <w:spacing w:before="120" w:after="120"/>
        <w:jc w:val="both"/>
        <w:rPr>
          <w:rFonts w:eastAsiaTheme="minorEastAsia"/>
          <w:color w:val="000000" w:themeColor="text1"/>
          <w:szCs w:val="22"/>
          <w:lang w:val="en-US" w:eastAsia="zh-CN"/>
        </w:rPr>
      </w:pPr>
      <w:r>
        <w:rPr>
          <w:rFonts w:eastAsiaTheme="minorEastAsia"/>
          <w:color w:val="000000" w:themeColor="text1"/>
          <w:szCs w:val="22"/>
          <w:lang w:val="en-US" w:eastAsia="zh-CN"/>
        </w:rPr>
        <w:t>W</w:t>
      </w:r>
      <w:r w:rsidR="000162A2" w:rsidRPr="00B7100D">
        <w:rPr>
          <w:rFonts w:eastAsiaTheme="minorEastAsia"/>
          <w:color w:val="000000" w:themeColor="text1"/>
          <w:szCs w:val="22"/>
          <w:lang w:val="en-US" w:eastAsia="zh-CN"/>
        </w:rPr>
        <w:t>hen combining cross channel estimation and frequency hopping, it may not be allowed to cross estimate channel when the channel has large frequency gap between t</w:t>
      </w:r>
      <w:r w:rsidR="00484B5A" w:rsidRPr="00B7100D">
        <w:rPr>
          <w:rFonts w:eastAsiaTheme="minorEastAsia"/>
          <w:color w:val="000000" w:themeColor="text1"/>
          <w:szCs w:val="22"/>
          <w:lang w:val="en-US" w:eastAsia="zh-CN"/>
        </w:rPr>
        <w:t>w</w:t>
      </w:r>
      <w:r w:rsidR="000162A2" w:rsidRPr="00B7100D">
        <w:rPr>
          <w:rFonts w:eastAsiaTheme="minorEastAsia"/>
          <w:color w:val="000000" w:themeColor="text1"/>
          <w:szCs w:val="22"/>
          <w:lang w:val="en-US" w:eastAsia="zh-CN"/>
        </w:rPr>
        <w:t>o slots.</w:t>
      </w:r>
      <w:r w:rsidR="00484B5A" w:rsidRPr="00B7100D">
        <w:rPr>
          <w:rFonts w:eastAsiaTheme="minorEastAsia"/>
          <w:color w:val="000000" w:themeColor="text1"/>
          <w:szCs w:val="22"/>
          <w:lang w:val="en-US" w:eastAsia="zh-CN"/>
        </w:rPr>
        <w:t xml:space="preserve"> So the frequency hopping should support hop by each slot combination, i.e. the cross channel estimation is done within each slot combination and frequency hopping is done between different slot combination.</w:t>
      </w:r>
    </w:p>
    <w:p w:rsidR="00CD4CF9" w:rsidRPr="00B7100D" w:rsidRDefault="00CD4CF9" w:rsidP="00D65294">
      <w:pPr>
        <w:spacing w:before="120" w:after="120"/>
        <w:jc w:val="both"/>
        <w:rPr>
          <w:rFonts w:eastAsiaTheme="minorEastAsia"/>
          <w:color w:val="000000" w:themeColor="text1"/>
          <w:szCs w:val="22"/>
          <w:lang w:val="en-US" w:eastAsia="zh-CN"/>
        </w:rPr>
      </w:pPr>
      <w:r w:rsidRPr="00B7100D">
        <w:rPr>
          <w:rFonts w:eastAsiaTheme="minorEastAsia"/>
          <w:color w:val="000000" w:themeColor="text1"/>
          <w:szCs w:val="22"/>
          <w:lang w:val="en-US" w:eastAsia="zh-CN"/>
        </w:rPr>
        <w:t>Inter-slot frequency hopping with inter-slot bundling to enable cross-slot channel estimation</w:t>
      </w:r>
    </w:p>
    <w:p w:rsidR="00BA32B1" w:rsidRDefault="00BC0292" w:rsidP="00484B5A">
      <w:pPr>
        <w:jc w:val="both"/>
        <w:rPr>
          <w:rFonts w:eastAsia="宋体"/>
          <w:b/>
          <w:i/>
          <w:color w:val="000000" w:themeColor="text1"/>
          <w:szCs w:val="22"/>
          <w:lang w:eastAsia="zh-CN"/>
        </w:rPr>
      </w:pPr>
      <w:r>
        <w:rPr>
          <w:rFonts w:eastAsia="宋体"/>
          <w:b/>
          <w:i/>
          <w:color w:val="000000" w:themeColor="text1"/>
          <w:szCs w:val="22"/>
          <w:lang w:eastAsia="zh-CN"/>
        </w:rPr>
        <w:t>Proposal 3</w:t>
      </w:r>
      <w:r w:rsidR="00484B5A" w:rsidRPr="00B7100D">
        <w:rPr>
          <w:rFonts w:eastAsia="宋体"/>
          <w:b/>
          <w:i/>
          <w:color w:val="000000" w:themeColor="text1"/>
          <w:szCs w:val="22"/>
          <w:lang w:eastAsia="zh-CN"/>
        </w:rPr>
        <w:t xml:space="preserve">: It's beneficial to study providing more frequency hopping RB position to increase the coverage. </w:t>
      </w:r>
      <w:r w:rsidRPr="00BC0292">
        <w:rPr>
          <w:rFonts w:eastAsia="宋体"/>
          <w:b/>
          <w:i/>
          <w:color w:val="000000" w:themeColor="text1"/>
          <w:szCs w:val="22"/>
          <w:lang w:eastAsia="zh-CN"/>
        </w:rPr>
        <w:t>Inter-slot frequency hopping with inter-slot bundling to enable cross-slot channel estimation</w:t>
      </w:r>
      <w:r>
        <w:rPr>
          <w:rFonts w:eastAsia="宋体"/>
          <w:b/>
          <w:i/>
          <w:color w:val="000000" w:themeColor="text1"/>
          <w:szCs w:val="22"/>
          <w:lang w:eastAsia="zh-CN"/>
        </w:rPr>
        <w:t xml:space="preserve"> should be supported</w:t>
      </w:r>
      <w:r w:rsidR="00484B5A" w:rsidRPr="00B7100D">
        <w:rPr>
          <w:rFonts w:eastAsia="宋体"/>
          <w:b/>
          <w:i/>
          <w:color w:val="000000" w:themeColor="text1"/>
          <w:szCs w:val="22"/>
          <w:lang w:eastAsia="zh-CN"/>
        </w:rPr>
        <w:t>.</w:t>
      </w:r>
    </w:p>
    <w:bookmarkEnd w:id="9"/>
    <w:bookmarkEnd w:id="10"/>
    <w:p w:rsidR="00F61D05" w:rsidRPr="003F0850" w:rsidRDefault="00F61D05" w:rsidP="00F61D0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0B05FC" w:rsidRPr="00B7100D" w:rsidRDefault="00F61D05" w:rsidP="0032595C">
      <w:pPr>
        <w:jc w:val="both"/>
        <w:rPr>
          <w:rFonts w:eastAsia="宋体"/>
          <w:color w:val="000000" w:themeColor="text1"/>
          <w:szCs w:val="22"/>
          <w:lang w:eastAsia="zh-CN"/>
        </w:rPr>
      </w:pPr>
      <w:r w:rsidRPr="00B7100D">
        <w:rPr>
          <w:rFonts w:eastAsia="宋体" w:hint="eastAsia"/>
          <w:color w:val="000000" w:themeColor="text1"/>
          <w:szCs w:val="22"/>
          <w:lang w:eastAsia="zh-CN"/>
        </w:rPr>
        <w:t xml:space="preserve">In this contribution, we provide </w:t>
      </w:r>
      <w:r w:rsidR="00CF583E" w:rsidRPr="00B7100D">
        <w:rPr>
          <w:rFonts w:eastAsia="宋体"/>
          <w:color w:val="000000" w:themeColor="text1"/>
          <w:szCs w:val="22"/>
          <w:lang w:eastAsia="zh-CN"/>
        </w:rPr>
        <w:t>our view on the PUSCH coverage enhancement and we propose</w:t>
      </w:r>
      <w:r w:rsidR="00F32E20" w:rsidRPr="00B7100D">
        <w:rPr>
          <w:rFonts w:eastAsia="宋体"/>
          <w:color w:val="000000" w:themeColor="text1"/>
          <w:szCs w:val="22"/>
          <w:lang w:eastAsia="zh-CN"/>
        </w:rPr>
        <w:t xml:space="preserve"> that</w:t>
      </w:r>
      <w:r w:rsidR="00CF583E" w:rsidRPr="00B7100D">
        <w:rPr>
          <w:rFonts w:eastAsia="宋体"/>
          <w:color w:val="000000" w:themeColor="text1"/>
          <w:szCs w:val="22"/>
          <w:lang w:eastAsia="zh-CN"/>
        </w:rPr>
        <w:t>,</w:t>
      </w:r>
    </w:p>
    <w:p w:rsidR="00BC0292" w:rsidRDefault="00BC0292" w:rsidP="00BC0292">
      <w:pPr>
        <w:jc w:val="both"/>
        <w:rPr>
          <w:rFonts w:eastAsia="宋体"/>
          <w:b/>
          <w:i/>
          <w:color w:val="000000" w:themeColor="text1"/>
          <w:szCs w:val="22"/>
          <w:lang w:eastAsia="zh-CN"/>
        </w:rPr>
      </w:pPr>
      <w:r w:rsidRPr="00B7100D">
        <w:rPr>
          <w:rFonts w:eastAsia="宋体"/>
          <w:b/>
          <w:i/>
          <w:color w:val="000000" w:themeColor="text1"/>
          <w:szCs w:val="22"/>
          <w:lang w:eastAsia="zh-CN"/>
        </w:rPr>
        <w:t xml:space="preserve">Proposal 1: It’s beneficial to </w:t>
      </w:r>
      <w:r>
        <w:rPr>
          <w:rFonts w:eastAsia="宋体"/>
          <w:b/>
          <w:i/>
          <w:color w:val="000000" w:themeColor="text1"/>
          <w:szCs w:val="22"/>
          <w:lang w:eastAsia="zh-CN"/>
        </w:rPr>
        <w:t>support c</w:t>
      </w:r>
      <w:r w:rsidRPr="00B7100D">
        <w:rPr>
          <w:rFonts w:eastAsia="宋体"/>
          <w:b/>
          <w:i/>
          <w:color w:val="000000" w:themeColor="text1"/>
          <w:szCs w:val="22"/>
          <w:lang w:eastAsia="zh-CN"/>
        </w:rPr>
        <w:t xml:space="preserve">ross channel. </w:t>
      </w:r>
      <w:r>
        <w:rPr>
          <w:rFonts w:eastAsia="宋体"/>
          <w:b/>
          <w:i/>
          <w:color w:val="000000" w:themeColor="text1"/>
          <w:szCs w:val="22"/>
          <w:lang w:eastAsia="zh-CN"/>
        </w:rPr>
        <w:t>Based on legacy NR, channel across different slot are not inferable. I</w:t>
      </w:r>
      <w:r w:rsidRPr="00B7100D">
        <w:rPr>
          <w:rFonts w:eastAsia="宋体"/>
          <w:b/>
          <w:i/>
          <w:color w:val="000000" w:themeColor="text1"/>
          <w:szCs w:val="22"/>
          <w:lang w:eastAsia="zh-CN"/>
        </w:rPr>
        <w:t xml:space="preserve">nferable state </w:t>
      </w:r>
      <w:r>
        <w:rPr>
          <w:rFonts w:eastAsia="宋体"/>
          <w:b/>
          <w:i/>
          <w:color w:val="000000" w:themeColor="text1"/>
          <w:szCs w:val="22"/>
          <w:lang w:eastAsia="zh-CN"/>
        </w:rPr>
        <w:t xml:space="preserve">could be indicated </w:t>
      </w:r>
      <w:r w:rsidRPr="00B7100D">
        <w:rPr>
          <w:rFonts w:eastAsia="宋体"/>
          <w:b/>
          <w:i/>
          <w:color w:val="000000" w:themeColor="text1"/>
          <w:szCs w:val="22"/>
          <w:lang w:eastAsia="zh-CN"/>
        </w:rPr>
        <w:t xml:space="preserve">to UE to </w:t>
      </w:r>
      <w:r>
        <w:rPr>
          <w:rFonts w:eastAsia="宋体"/>
          <w:b/>
          <w:i/>
          <w:color w:val="000000" w:themeColor="text1"/>
          <w:szCs w:val="22"/>
          <w:lang w:eastAsia="zh-CN"/>
        </w:rPr>
        <w:t>support</w:t>
      </w:r>
      <w:r w:rsidRPr="00B7100D">
        <w:rPr>
          <w:rFonts w:eastAsia="宋体"/>
          <w:b/>
          <w:i/>
          <w:color w:val="000000" w:themeColor="text1"/>
          <w:szCs w:val="22"/>
          <w:lang w:eastAsia="zh-CN"/>
        </w:rPr>
        <w:t xml:space="preserve"> cross channel estimation.</w:t>
      </w:r>
    </w:p>
    <w:p w:rsidR="00BC0292" w:rsidRPr="00B7100D" w:rsidRDefault="00BC0292" w:rsidP="00BC0292">
      <w:pPr>
        <w:jc w:val="both"/>
        <w:rPr>
          <w:rFonts w:eastAsiaTheme="minorEastAsia"/>
          <w:color w:val="000000" w:themeColor="text1"/>
          <w:szCs w:val="22"/>
          <w:lang w:val="en-US" w:eastAsia="zh-CN"/>
        </w:rPr>
      </w:pPr>
      <w:r w:rsidRPr="00B7100D">
        <w:rPr>
          <w:rFonts w:eastAsia="宋体"/>
          <w:b/>
          <w:i/>
          <w:color w:val="000000" w:themeColor="text1"/>
          <w:szCs w:val="22"/>
          <w:lang w:eastAsia="zh-CN"/>
        </w:rPr>
        <w:t xml:space="preserve">Proposal </w:t>
      </w:r>
      <w:r>
        <w:rPr>
          <w:rFonts w:eastAsia="宋体"/>
          <w:b/>
          <w:i/>
          <w:color w:val="000000" w:themeColor="text1"/>
          <w:szCs w:val="22"/>
          <w:lang w:eastAsia="zh-CN"/>
        </w:rPr>
        <w:t>2</w:t>
      </w:r>
      <w:r w:rsidRPr="00B7100D">
        <w:rPr>
          <w:rFonts w:eastAsia="宋体"/>
          <w:b/>
          <w:i/>
          <w:color w:val="000000" w:themeColor="text1"/>
          <w:szCs w:val="22"/>
          <w:lang w:eastAsia="zh-CN"/>
        </w:rPr>
        <w:t xml:space="preserve">: </w:t>
      </w:r>
      <w:r>
        <w:rPr>
          <w:rFonts w:eastAsia="宋体"/>
          <w:b/>
          <w:i/>
          <w:color w:val="000000" w:themeColor="text1"/>
          <w:szCs w:val="22"/>
          <w:lang w:eastAsia="zh-CN"/>
        </w:rPr>
        <w:t>To study different number of DMRS symbol in each slot to make up DMRS symbol pattern over multiple slots when cross slot channel estimation adopted</w:t>
      </w:r>
      <w:r w:rsidRPr="00B7100D">
        <w:rPr>
          <w:rFonts w:eastAsia="宋体"/>
          <w:b/>
          <w:i/>
          <w:color w:val="000000" w:themeColor="text1"/>
          <w:szCs w:val="22"/>
          <w:lang w:eastAsia="zh-CN"/>
        </w:rPr>
        <w:t>.</w:t>
      </w:r>
    </w:p>
    <w:p w:rsidR="00BC0292" w:rsidRPr="00B7100D" w:rsidRDefault="00BC0292" w:rsidP="00BC4C7B">
      <w:pPr>
        <w:jc w:val="both"/>
        <w:rPr>
          <w:sz w:val="18"/>
        </w:rPr>
      </w:pPr>
      <w:r>
        <w:rPr>
          <w:rFonts w:eastAsia="宋体"/>
          <w:b/>
          <w:i/>
          <w:color w:val="000000" w:themeColor="text1"/>
          <w:szCs w:val="22"/>
          <w:lang w:eastAsia="zh-CN"/>
        </w:rPr>
        <w:t>Proposal 3</w:t>
      </w:r>
      <w:r w:rsidRPr="00B7100D">
        <w:rPr>
          <w:rFonts w:eastAsia="宋体"/>
          <w:b/>
          <w:i/>
          <w:color w:val="000000" w:themeColor="text1"/>
          <w:szCs w:val="22"/>
          <w:lang w:eastAsia="zh-CN"/>
        </w:rPr>
        <w:t xml:space="preserve">: It's beneficial to study providing more frequency hopping RB position to increase the coverage. </w:t>
      </w:r>
      <w:r w:rsidRPr="00BC0292">
        <w:rPr>
          <w:rFonts w:eastAsia="宋体"/>
          <w:b/>
          <w:i/>
          <w:color w:val="000000" w:themeColor="text1"/>
          <w:szCs w:val="22"/>
          <w:lang w:eastAsia="zh-CN"/>
        </w:rPr>
        <w:t>Inter-slot frequency hopping with inter-slot bundling to enable cross-slot channel estimation</w:t>
      </w:r>
      <w:r>
        <w:rPr>
          <w:rFonts w:eastAsia="宋体"/>
          <w:b/>
          <w:i/>
          <w:color w:val="000000" w:themeColor="text1"/>
          <w:szCs w:val="22"/>
          <w:lang w:eastAsia="zh-CN"/>
        </w:rPr>
        <w:t xml:space="preserve"> should be supported</w:t>
      </w:r>
      <w:r w:rsidRPr="00B7100D">
        <w:rPr>
          <w:rFonts w:eastAsia="宋体"/>
          <w:b/>
          <w:i/>
          <w:color w:val="000000" w:themeColor="text1"/>
          <w:szCs w:val="22"/>
          <w:lang w:eastAsia="zh-CN"/>
        </w:rPr>
        <w:t>.</w:t>
      </w:r>
    </w:p>
    <w:p w:rsidR="00F61D05" w:rsidRPr="003F0850" w:rsidRDefault="00F61D05" w:rsidP="00F61D0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rsidR="0032595C" w:rsidRPr="00B7100D" w:rsidRDefault="0032595C" w:rsidP="0032595C">
      <w:pPr>
        <w:jc w:val="both"/>
        <w:rPr>
          <w:rFonts w:eastAsia="宋体"/>
          <w:color w:val="000000" w:themeColor="text1"/>
          <w:szCs w:val="22"/>
          <w:lang w:eastAsia="zh-CN"/>
        </w:rPr>
      </w:pPr>
      <w:r w:rsidRPr="00B7100D">
        <w:rPr>
          <w:rFonts w:eastAsia="宋体"/>
          <w:color w:val="000000" w:themeColor="text1"/>
          <w:szCs w:val="22"/>
          <w:lang w:eastAsia="zh-CN"/>
        </w:rPr>
        <w:t xml:space="preserve">[1] </w:t>
      </w:r>
      <w:r w:rsidR="0043722D" w:rsidRPr="00B7100D">
        <w:rPr>
          <w:rFonts w:eastAsia="宋体"/>
          <w:color w:val="000000" w:themeColor="text1"/>
          <w:szCs w:val="22"/>
          <w:lang w:eastAsia="zh-CN"/>
        </w:rPr>
        <w:t>Draft_Minutes_report_RAN1#102-e_v020</w:t>
      </w:r>
      <w:r w:rsidR="00CF583E" w:rsidRPr="00B7100D">
        <w:rPr>
          <w:rFonts w:eastAsia="宋体"/>
          <w:color w:val="000000" w:themeColor="text1"/>
          <w:szCs w:val="22"/>
          <w:lang w:eastAsia="zh-CN"/>
        </w:rPr>
        <w:t>, TSG RAN</w:t>
      </w:r>
      <w:r w:rsidR="0043722D" w:rsidRPr="00B7100D">
        <w:rPr>
          <w:rFonts w:eastAsia="宋体"/>
          <w:color w:val="000000" w:themeColor="text1"/>
          <w:szCs w:val="22"/>
          <w:lang w:eastAsia="zh-CN"/>
        </w:rPr>
        <w:t>1</w:t>
      </w:r>
      <w:r w:rsidR="00CF583E" w:rsidRPr="00B7100D">
        <w:rPr>
          <w:rFonts w:eastAsia="宋体"/>
          <w:color w:val="000000" w:themeColor="text1"/>
          <w:szCs w:val="22"/>
          <w:lang w:eastAsia="zh-CN"/>
        </w:rPr>
        <w:t xml:space="preserve"> Meeting #</w:t>
      </w:r>
      <w:r w:rsidR="0043722D" w:rsidRPr="00B7100D">
        <w:rPr>
          <w:rFonts w:eastAsia="宋体"/>
          <w:color w:val="000000" w:themeColor="text1"/>
          <w:szCs w:val="22"/>
          <w:lang w:eastAsia="zh-CN"/>
        </w:rPr>
        <w:t>102-e</w:t>
      </w:r>
      <w:r w:rsidR="00CF583E" w:rsidRPr="00B7100D">
        <w:rPr>
          <w:rFonts w:eastAsia="宋体"/>
          <w:color w:val="000000" w:themeColor="text1"/>
          <w:szCs w:val="22"/>
          <w:lang w:eastAsia="zh-CN"/>
        </w:rPr>
        <w:t>.</w:t>
      </w:r>
    </w:p>
    <w:p w:rsidR="00BC0292" w:rsidRPr="0032595C" w:rsidRDefault="00BC0292" w:rsidP="0032595C">
      <w:pPr>
        <w:jc w:val="both"/>
        <w:rPr>
          <w:rFonts w:eastAsia="宋体"/>
          <w:color w:val="000000" w:themeColor="text1"/>
          <w:sz w:val="22"/>
          <w:szCs w:val="22"/>
          <w:lang w:eastAsia="zh-CN"/>
        </w:rPr>
      </w:pPr>
    </w:p>
    <w:sectPr w:rsidR="00BC0292" w:rsidRPr="0032595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BCB" w:rsidRDefault="00DB2BCB" w:rsidP="00B778C3">
      <w:pPr>
        <w:spacing w:after="0"/>
      </w:pPr>
      <w:r>
        <w:separator/>
      </w:r>
    </w:p>
  </w:endnote>
  <w:endnote w:type="continuationSeparator" w:id="0">
    <w:p w:rsidR="00DB2BCB" w:rsidRDefault="00DB2BCB"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BCB" w:rsidRDefault="00DB2BCB" w:rsidP="00B778C3">
      <w:pPr>
        <w:spacing w:after="0"/>
      </w:pPr>
      <w:r>
        <w:separator/>
      </w:r>
    </w:p>
  </w:footnote>
  <w:footnote w:type="continuationSeparator" w:id="0">
    <w:p w:rsidR="00DB2BCB" w:rsidRDefault="00DB2BCB" w:rsidP="00B778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F54FA"/>
    <w:multiLevelType w:val="hybridMultilevel"/>
    <w:tmpl w:val="7666A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4"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8"/>
  </w:num>
  <w:num w:numId="4">
    <w:abstractNumId w:val="2"/>
  </w:num>
  <w:num w:numId="5">
    <w:abstractNumId w:val="5"/>
  </w:num>
  <w:num w:numId="6">
    <w:abstractNumId w:val="3"/>
  </w:num>
  <w:num w:numId="7">
    <w:abstractNumId w:val="1"/>
  </w:num>
  <w:num w:numId="8">
    <w:abstractNumId w:val="1"/>
  </w:num>
  <w:num w:numId="9">
    <w:abstractNumId w:val="6"/>
  </w:num>
  <w:num w:numId="10">
    <w:abstractNumId w:val="0"/>
  </w:num>
  <w:num w:numId="11">
    <w:abstractNumId w:val="7"/>
  </w:num>
  <w:num w:numId="12">
    <w:abstractNumId w:val="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162A2"/>
    <w:rsid w:val="00023479"/>
    <w:rsid w:val="000511CA"/>
    <w:rsid w:val="00085EB7"/>
    <w:rsid w:val="000B05FC"/>
    <w:rsid w:val="000C346D"/>
    <w:rsid w:val="00125B4A"/>
    <w:rsid w:val="001835E7"/>
    <w:rsid w:val="001A4CB8"/>
    <w:rsid w:val="001C5CC3"/>
    <w:rsid w:val="003001FE"/>
    <w:rsid w:val="0032595C"/>
    <w:rsid w:val="0037379E"/>
    <w:rsid w:val="00373E19"/>
    <w:rsid w:val="00406197"/>
    <w:rsid w:val="00430525"/>
    <w:rsid w:val="0043722D"/>
    <w:rsid w:val="00450748"/>
    <w:rsid w:val="0045662A"/>
    <w:rsid w:val="0047157F"/>
    <w:rsid w:val="00476766"/>
    <w:rsid w:val="00484B5A"/>
    <w:rsid w:val="004F72D9"/>
    <w:rsid w:val="00520257"/>
    <w:rsid w:val="00576784"/>
    <w:rsid w:val="005B79DA"/>
    <w:rsid w:val="005C2C27"/>
    <w:rsid w:val="005F6AFB"/>
    <w:rsid w:val="006408B5"/>
    <w:rsid w:val="00691AED"/>
    <w:rsid w:val="006947D4"/>
    <w:rsid w:val="006A1AD5"/>
    <w:rsid w:val="006C1629"/>
    <w:rsid w:val="006D2594"/>
    <w:rsid w:val="00742437"/>
    <w:rsid w:val="00762E68"/>
    <w:rsid w:val="00781E22"/>
    <w:rsid w:val="00794B8D"/>
    <w:rsid w:val="007B2D91"/>
    <w:rsid w:val="007D40A4"/>
    <w:rsid w:val="007D7CB4"/>
    <w:rsid w:val="00804A18"/>
    <w:rsid w:val="00867068"/>
    <w:rsid w:val="008975F8"/>
    <w:rsid w:val="008D0309"/>
    <w:rsid w:val="008D4A32"/>
    <w:rsid w:val="008F3C52"/>
    <w:rsid w:val="00920563"/>
    <w:rsid w:val="0094232E"/>
    <w:rsid w:val="009A0FF3"/>
    <w:rsid w:val="00A0425E"/>
    <w:rsid w:val="00A16FD0"/>
    <w:rsid w:val="00A2086C"/>
    <w:rsid w:val="00A463A8"/>
    <w:rsid w:val="00AA2B49"/>
    <w:rsid w:val="00AE44F1"/>
    <w:rsid w:val="00B46017"/>
    <w:rsid w:val="00B7100D"/>
    <w:rsid w:val="00B778C3"/>
    <w:rsid w:val="00BA32B1"/>
    <w:rsid w:val="00BC0292"/>
    <w:rsid w:val="00BC4C7B"/>
    <w:rsid w:val="00C13D3A"/>
    <w:rsid w:val="00C16C5D"/>
    <w:rsid w:val="00C23ED9"/>
    <w:rsid w:val="00C25C67"/>
    <w:rsid w:val="00CB19FF"/>
    <w:rsid w:val="00CC0D14"/>
    <w:rsid w:val="00CD4CF9"/>
    <w:rsid w:val="00CF583E"/>
    <w:rsid w:val="00D61447"/>
    <w:rsid w:val="00D65294"/>
    <w:rsid w:val="00DB2BCB"/>
    <w:rsid w:val="00DB669A"/>
    <w:rsid w:val="00DE2BC1"/>
    <w:rsid w:val="00E332AC"/>
    <w:rsid w:val="00E46DF0"/>
    <w:rsid w:val="00E5124C"/>
    <w:rsid w:val="00EA6349"/>
    <w:rsid w:val="00F0255C"/>
    <w:rsid w:val="00F149B4"/>
    <w:rsid w:val="00F32E20"/>
    <w:rsid w:val="00F54DEA"/>
    <w:rsid w:val="00F61D05"/>
    <w:rsid w:val="00FB6611"/>
    <w:rsid w:val="00FC4F19"/>
    <w:rsid w:val="00FD19D9"/>
    <w:rsid w:val="00FD2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Char"/>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Char">
    <w:name w:val="标题 3 Char"/>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Char"/>
    <w:semiHidden/>
    <w:rsid w:val="00F61D05"/>
    <w:pPr>
      <w:spacing w:after="0"/>
      <w:jc w:val="both"/>
    </w:pPr>
    <w:rPr>
      <w:rFonts w:ascii="Times" w:eastAsia="Batang" w:hAnsi="Times"/>
      <w:lang w:val="en-US"/>
    </w:rPr>
  </w:style>
  <w:style w:type="character" w:customStyle="1" w:styleId="Char">
    <w:name w:val="脚注文本 Char"/>
    <w:basedOn w:val="a0"/>
    <w:link w:val="a3"/>
    <w:semiHidden/>
    <w:rsid w:val="00F61D05"/>
    <w:rPr>
      <w:rFonts w:ascii="Times" w:eastAsia="Batang" w:hAnsi="Times" w:cs="Times New Roman"/>
      <w:sz w:val="20"/>
      <w:szCs w:val="20"/>
      <w:lang w:eastAsia="en-US"/>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0"/>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5">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576784"/>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576784"/>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B778C3"/>
    <w:pPr>
      <w:tabs>
        <w:tab w:val="center" w:pos="4320"/>
        <w:tab w:val="right" w:pos="8640"/>
      </w:tabs>
      <w:spacing w:after="0"/>
    </w:pPr>
  </w:style>
  <w:style w:type="character" w:customStyle="1" w:styleId="Char2">
    <w:name w:val="页眉 Char"/>
    <w:basedOn w:val="a0"/>
    <w:link w:val="a7"/>
    <w:uiPriority w:val="99"/>
    <w:rsid w:val="00B778C3"/>
    <w:rPr>
      <w:rFonts w:ascii="Times New Roman" w:eastAsia="MS Mincho" w:hAnsi="Times New Roman" w:cs="Times New Roman"/>
      <w:sz w:val="20"/>
      <w:szCs w:val="20"/>
      <w:lang w:val="en-GB" w:eastAsia="en-US"/>
    </w:rPr>
  </w:style>
  <w:style w:type="paragraph" w:styleId="a8">
    <w:name w:val="footer"/>
    <w:basedOn w:val="a"/>
    <w:link w:val="Char3"/>
    <w:uiPriority w:val="99"/>
    <w:unhideWhenUsed/>
    <w:rsid w:val="00B778C3"/>
    <w:pPr>
      <w:tabs>
        <w:tab w:val="center" w:pos="4320"/>
        <w:tab w:val="right" w:pos="8640"/>
      </w:tabs>
      <w:spacing w:after="0"/>
    </w:pPr>
  </w:style>
  <w:style w:type="character" w:customStyle="1" w:styleId="Char3">
    <w:name w:val="页脚 Char"/>
    <w:basedOn w:val="a0"/>
    <w:link w:val="a8"/>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0511CA"/>
    <w:rPr>
      <w:rFonts w:ascii="Times New Roman" w:eastAsia="MS Mincho" w:hAnsi="Times New Roman" w:cs="Times New Roman"/>
      <w:sz w:val="20"/>
      <w:szCs w:val="20"/>
      <w:lang w:val="en-GB" w:eastAsia="en-US"/>
    </w:rPr>
  </w:style>
  <w:style w:type="character" w:styleId="a9">
    <w:name w:val="Strong"/>
    <w:basedOn w:val="a0"/>
    <w:uiPriority w:val="22"/>
    <w:qFormat/>
    <w:rsid w:val="000511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438</TotalTime>
  <Pages>3</Pages>
  <Words>1111</Words>
  <Characters>6338</Characters>
  <Application>Microsoft Office Word</Application>
  <DocSecurity>0</DocSecurity>
  <Lines>52</Lines>
  <Paragraphs>14</Paragraphs>
  <ScaleCrop>false</ScaleCrop>
  <Company/>
  <LinksUpToDate>false</LinksUpToDate>
  <CharactersWithSpaces>7435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NEC(梁林)</dc:creator>
  <cp:keywords/>
  <dc:description/>
  <cp:lastModifiedBy>NEC(梁林)</cp:lastModifiedBy>
  <cp:revision>18</cp:revision>
  <dcterms:created xsi:type="dcterms:W3CDTF">2020-07-16T08:59:00Z</dcterms:created>
  <dcterms:modified xsi:type="dcterms:W3CDTF">2020-10-15T08:13:00Z</dcterms:modified>
</cp:coreProperties>
</file>